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58" w:rsidRPr="00932F58" w:rsidRDefault="00932F58" w:rsidP="00932F58">
      <w:pPr>
        <w:spacing w:line="240" w:lineRule="auto"/>
        <w:jc w:val="center"/>
        <w:rPr>
          <w:rFonts w:ascii="Trebuchet MS" w:eastAsia="Times New Roman" w:hAnsi="Trebuchet MS" w:cs="Times New Roman"/>
          <w:b/>
          <w:bCs/>
          <w:color w:val="A24C3D"/>
          <w:sz w:val="72"/>
          <w:szCs w:val="72"/>
        </w:rPr>
      </w:pPr>
      <w:r w:rsidRPr="00932F58">
        <w:rPr>
          <w:rFonts w:ascii="Trebuchet MS" w:eastAsia="Times New Roman" w:hAnsi="Trebuchet MS" w:cs="Times New Roman"/>
          <w:b/>
          <w:bCs/>
          <w:color w:val="A24C3D"/>
          <w:sz w:val="72"/>
          <w:szCs w:val="72"/>
        </w:rPr>
        <w:t>Career Education 8 Outcomes &amp; Indicators</w:t>
      </w:r>
    </w:p>
    <w:p w:rsidR="00932F58" w:rsidRPr="00932F58" w:rsidRDefault="00932F58" w:rsidP="00932F58">
      <w:pPr>
        <w:shd w:val="clear" w:color="auto" w:fill="A24C3D"/>
        <w:spacing w:after="0" w:line="240" w:lineRule="auto"/>
        <w:textAlignment w:val="top"/>
        <w:rPr>
          <w:rFonts w:ascii="Trebuchet MS" w:eastAsia="Times New Roman" w:hAnsi="Trebuchet MS" w:cs="Times New Roman"/>
          <w:b/>
          <w:bCs/>
          <w:color w:val="FFFFFF"/>
          <w:sz w:val="18"/>
          <w:szCs w:val="18"/>
        </w:rPr>
      </w:pPr>
      <w:r w:rsidRPr="00932F58">
        <w:rPr>
          <w:rFonts w:ascii="Trebuchet MS" w:eastAsia="Times New Roman" w:hAnsi="Trebuchet MS" w:cs="Times New Roman"/>
          <w:b/>
          <w:bCs/>
          <w:color w:val="FFFFFF"/>
          <w:sz w:val="18"/>
          <w:szCs w:val="18"/>
        </w:rPr>
        <w:t>Change and Growth (CG)</w:t>
      </w:r>
    </w:p>
    <w:p w:rsidR="00932F58" w:rsidRPr="00932F58" w:rsidRDefault="00932F58" w:rsidP="00932F58">
      <w:pPr>
        <w:spacing w:after="15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  <w:hyperlink r:id="rId5" w:history="1">
        <w:r w:rsidRPr="00932F58">
          <w:rPr>
            <w:rFonts w:ascii="Trebuchet MS" w:eastAsia="Times New Roman" w:hAnsi="Trebuchet MS" w:cs="Times New Roman"/>
            <w:color w:val="000000"/>
            <w:sz w:val="18"/>
            <w:szCs w:val="18"/>
            <w:u w:val="single"/>
            <w:bdr w:val="single" w:sz="6" w:space="0" w:color="000000" w:frame="1"/>
            <w:shd w:val="clear" w:color="auto" w:fill="ECDBD8"/>
          </w:rPr>
          <w:t>CG8.1</w:t>
        </w:r>
      </w:hyperlink>
      <w:hyperlink r:id="rId6" w:history="1">
        <w:r w:rsidRPr="00932F58">
          <w:rPr>
            <w:rFonts w:ascii="Trebuchet MS" w:eastAsia="Times New Roman" w:hAnsi="Trebuchet MS" w:cs="Times New Roman"/>
            <w:color w:val="000000"/>
            <w:sz w:val="18"/>
            <w:szCs w:val="18"/>
            <w:u w:val="single"/>
            <w:bdr w:val="single" w:sz="6" w:space="0" w:color="000000" w:frame="1"/>
          </w:rPr>
          <w:t>CG8.2</w:t>
        </w:r>
      </w:hyperlink>
    </w:p>
    <w:p w:rsidR="00932F58" w:rsidRPr="00932F58" w:rsidRDefault="00932F58" w:rsidP="00932F58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932F58" w:rsidRPr="00932F58" w:rsidRDefault="00932F58" w:rsidP="00932F58">
      <w:pPr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932F58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Outcome: CG8.1</w:t>
      </w:r>
    </w:p>
    <w:p w:rsidR="00932F58" w:rsidRPr="00932F58" w:rsidRDefault="00932F58" w:rsidP="00932F58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32F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highlight w:val="yellow"/>
        </w:rPr>
        <w:t xml:space="preserve">Analyze one’s own self-image including personal skills, interests, and </w:t>
      </w:r>
      <w:proofErr w:type="spellStart"/>
      <w:r w:rsidRPr="00932F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highlight w:val="yellow"/>
        </w:rPr>
        <w:t>behaviours</w:t>
      </w:r>
      <w:proofErr w:type="spellEnd"/>
      <w:r w:rsidRPr="00932F58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highlight w:val="yellow"/>
        </w:rPr>
        <w:t xml:space="preserve"> and their influences on one’s life and work.</w:t>
      </w:r>
      <w:r w:rsidRPr="00932F58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  <w:r w:rsidRPr="00932F58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932F58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932F58" w:rsidRPr="00932F58" w:rsidRDefault="00932F58" w:rsidP="00932F58">
      <w:pPr>
        <w:numPr>
          <w:ilvl w:val="0"/>
          <w:numId w:val="1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Examine how personal attitudes and </w:t>
      </w:r>
      <w:proofErr w:type="spellStart"/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>behaviours</w:t>
      </w:r>
      <w:proofErr w:type="spellEnd"/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are influenced by environmental factors such as economic conditions, geographic location, and cultural experience within the Saskatchewan context</w:t>
      </w:r>
    </w:p>
    <w:p w:rsidR="00932F58" w:rsidRPr="00932F58" w:rsidRDefault="00932F58" w:rsidP="00932F58">
      <w:pPr>
        <w:numPr>
          <w:ilvl w:val="0"/>
          <w:numId w:val="2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>Discuss and demonstrate how a realistic and positive self-image contributes to self-fulfillment, both personally and professionally</w:t>
      </w:r>
    </w:p>
    <w:p w:rsidR="00932F58" w:rsidRPr="00932F58" w:rsidRDefault="00932F58" w:rsidP="00932F58">
      <w:pPr>
        <w:numPr>
          <w:ilvl w:val="0"/>
          <w:numId w:val="3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>Demonstrate an appreciation of the impact of one’s self-image on self and others through activities such as role playing, interviewing, collaboration, and self-reflection</w:t>
      </w:r>
    </w:p>
    <w:p w:rsidR="00932F58" w:rsidRPr="00932F58" w:rsidRDefault="00932F58" w:rsidP="00932F58">
      <w:pPr>
        <w:numPr>
          <w:ilvl w:val="0"/>
          <w:numId w:val="4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Transform </w:t>
      </w:r>
      <w:proofErr w:type="spellStart"/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>behaviours</w:t>
      </w:r>
      <w:proofErr w:type="spellEnd"/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and attitudes in order to improve one’s self-image and in turn contribute positively to one’s life and work</w:t>
      </w:r>
    </w:p>
    <w:p w:rsidR="00932F58" w:rsidRPr="00932F58" w:rsidRDefault="00932F58" w:rsidP="00932F58">
      <w:pPr>
        <w:numPr>
          <w:ilvl w:val="0"/>
          <w:numId w:val="5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>Explore and verify, through sharing, how feelings are influenced by significant experiences</w:t>
      </w:r>
    </w:p>
    <w:p w:rsidR="00932F58" w:rsidRPr="00932F58" w:rsidRDefault="00932F58" w:rsidP="00932F58">
      <w:pPr>
        <w:numPr>
          <w:ilvl w:val="0"/>
          <w:numId w:val="6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>Examine one’s work, family, and leisure activities and acknowledge their impact on one’s mental, emotional, physical, and economic well-being</w:t>
      </w:r>
    </w:p>
    <w:p w:rsidR="00932F58" w:rsidRPr="00932F58" w:rsidRDefault="00932F58" w:rsidP="00932F58">
      <w:pPr>
        <w:numPr>
          <w:ilvl w:val="0"/>
          <w:numId w:val="7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333333"/>
          <w:sz w:val="18"/>
          <w:szCs w:val="18"/>
        </w:rPr>
        <w:t>Re-examine one’s communication skills and adopt those that are truly effective in various situations</w:t>
      </w:r>
    </w:p>
    <w:p w:rsidR="00932F58" w:rsidRPr="00C24050" w:rsidRDefault="00932F58" w:rsidP="00C2405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932F58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C24050" w:rsidRPr="00C24050" w:rsidRDefault="00C24050" w:rsidP="00C24050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C24050" w:rsidRPr="00C24050" w:rsidRDefault="00C24050" w:rsidP="00C24050">
      <w:pPr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C2405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Outcome: CG8.2</w:t>
      </w:r>
    </w:p>
    <w:p w:rsidR="00C24050" w:rsidRPr="00C24050" w:rsidRDefault="00C24050" w:rsidP="00C24050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highlight w:val="yellow"/>
        </w:rPr>
        <w:t>Analyze abilities for responding positively to change in one’s life.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C24050" w:rsidRPr="00C24050" w:rsidRDefault="00C24050" w:rsidP="00C24050">
      <w:pPr>
        <w:numPr>
          <w:ilvl w:val="0"/>
          <w:numId w:val="8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Identify and draw conclusions about the effectiveness of various interpersonal and group communication skills such as active listening, giving feedback, etiquette, and tact</w:t>
      </w:r>
    </w:p>
    <w:p w:rsidR="00C24050" w:rsidRPr="00C24050" w:rsidRDefault="00C24050" w:rsidP="00C24050">
      <w:pPr>
        <w:numPr>
          <w:ilvl w:val="0"/>
          <w:numId w:val="9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proofErr w:type="spellStart"/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Practise</w:t>
      </w:r>
      <w:proofErr w:type="spellEnd"/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helping skills such as facilitating, problem solving, tutoring, and guiding when dealing with change</w:t>
      </w:r>
    </w:p>
    <w:p w:rsidR="00C24050" w:rsidRPr="00C24050" w:rsidRDefault="00C24050" w:rsidP="00C24050">
      <w:pPr>
        <w:numPr>
          <w:ilvl w:val="0"/>
          <w:numId w:val="10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Reflect on and express insights about effective skills and attitudes in responding to criticism through group activities such as talking circles, trust activities, and cooperative games</w:t>
      </w:r>
    </w:p>
    <w:p w:rsidR="00C24050" w:rsidRPr="00C24050" w:rsidRDefault="00C24050" w:rsidP="00C24050">
      <w:pPr>
        <w:numPr>
          <w:ilvl w:val="0"/>
          <w:numId w:val="11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Document and appraise one’s own dependability and honesty towards others</w:t>
      </w:r>
    </w:p>
    <w:p w:rsidR="00C24050" w:rsidRPr="00C24050" w:rsidRDefault="00C24050" w:rsidP="00C24050">
      <w:pPr>
        <w:numPr>
          <w:ilvl w:val="0"/>
          <w:numId w:val="12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Re-examine personal management skills such as time management, problem solving, stress management, and life-work balance and evaluate one’s own strategies for dealing with personal change</w:t>
      </w:r>
    </w:p>
    <w:p w:rsidR="00C24050" w:rsidRPr="00C24050" w:rsidRDefault="00C24050" w:rsidP="00C24050">
      <w:pPr>
        <w:numPr>
          <w:ilvl w:val="0"/>
          <w:numId w:val="13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Identify typical physical, psychological, social, and emotional changes during adolescence and reflect on one’s own changes</w:t>
      </w:r>
    </w:p>
    <w:p w:rsidR="00C24050" w:rsidRDefault="00C24050" w:rsidP="00C24050">
      <w:pPr>
        <w:pStyle w:val="heading"/>
        <w:shd w:val="clear" w:color="auto" w:fill="FFFFFF"/>
        <w:spacing w:before="0" w:beforeAutospacing="0" w:after="300" w:afterAutospacing="0"/>
        <w:textAlignment w:val="top"/>
      </w:pPr>
      <w:r>
        <w:br w:type="page"/>
      </w:r>
    </w:p>
    <w:p w:rsidR="00C24050" w:rsidRPr="00C24050" w:rsidRDefault="00C24050" w:rsidP="00C24050">
      <w:pPr>
        <w:shd w:val="clear" w:color="auto" w:fill="A24C3D"/>
        <w:spacing w:after="0" w:line="240" w:lineRule="auto"/>
        <w:rPr>
          <w:rFonts w:ascii="Trebuchet MS" w:eastAsia="Times New Roman" w:hAnsi="Trebuchet MS" w:cs="Times New Roman"/>
          <w:b/>
          <w:bCs/>
          <w:color w:val="FFFFFF"/>
          <w:sz w:val="18"/>
          <w:szCs w:val="18"/>
        </w:rPr>
      </w:pPr>
      <w:r w:rsidRPr="00C24050">
        <w:rPr>
          <w:rFonts w:ascii="Trebuchet MS" w:eastAsia="Times New Roman" w:hAnsi="Trebuchet MS" w:cs="Times New Roman"/>
          <w:b/>
          <w:bCs/>
          <w:color w:val="FFFFFF"/>
          <w:sz w:val="18"/>
          <w:szCs w:val="18"/>
        </w:rPr>
        <w:lastRenderedPageBreak/>
        <w:t>Connections to Community (CC)</w:t>
      </w:r>
    </w:p>
    <w:p w:rsidR="00C24050" w:rsidRPr="00C24050" w:rsidRDefault="00C24050" w:rsidP="00C2405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hyperlink r:id="rId7" w:history="1">
        <w:r w:rsidRPr="00C24050">
          <w:rPr>
            <w:rFonts w:ascii="Trebuchet MS" w:eastAsia="Times New Roman" w:hAnsi="Trebuchet MS" w:cs="Times New Roman"/>
            <w:color w:val="000000"/>
            <w:sz w:val="18"/>
            <w:szCs w:val="18"/>
            <w:u w:val="single"/>
            <w:bdr w:val="single" w:sz="6" w:space="0" w:color="000000" w:frame="1"/>
            <w:shd w:val="clear" w:color="auto" w:fill="ECDBD8"/>
          </w:rPr>
          <w:t>CC8.1</w:t>
        </w:r>
      </w:hyperlink>
      <w:hyperlink r:id="rId8" w:history="1">
        <w:r w:rsidRPr="00C24050">
          <w:rPr>
            <w:rFonts w:ascii="Trebuchet MS" w:eastAsia="Times New Roman" w:hAnsi="Trebuchet MS" w:cs="Times New Roman"/>
            <w:color w:val="000000"/>
            <w:sz w:val="18"/>
            <w:szCs w:val="18"/>
            <w:u w:val="single"/>
            <w:bdr w:val="single" w:sz="6" w:space="0" w:color="000000" w:frame="1"/>
          </w:rPr>
          <w:t>CC8.2</w:t>
        </w:r>
      </w:hyperlink>
    </w:p>
    <w:p w:rsidR="00C24050" w:rsidRPr="00C24050" w:rsidRDefault="00C24050" w:rsidP="00C24050">
      <w:pPr>
        <w:pStyle w:val="heading"/>
        <w:shd w:val="clear" w:color="auto" w:fill="FFFFFF"/>
        <w:spacing w:before="0" w:beforeAutospacing="0" w:after="300" w:afterAutospacing="0"/>
        <w:textAlignment w:val="top"/>
        <w:rPr>
          <w:rFonts w:ascii="Trebuchet MS" w:hAnsi="Trebuchet MS"/>
          <w:b/>
          <w:bCs/>
          <w:color w:val="333333"/>
        </w:rPr>
      </w:pPr>
      <w:r w:rsidRPr="00C24050">
        <w:rPr>
          <w:rFonts w:ascii="Trebuchet MS" w:hAnsi="Trebuchet MS"/>
          <w:b/>
          <w:bCs/>
          <w:color w:val="333333"/>
        </w:rPr>
        <w:t>Outcome: CC8.1</w:t>
      </w:r>
    </w:p>
    <w:p w:rsidR="00C24050" w:rsidRPr="00C24050" w:rsidRDefault="00C24050" w:rsidP="00C24050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Examine how a disposition for lifelong learning connects to potential career pathways.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C24050" w:rsidRPr="00C24050" w:rsidRDefault="00C24050" w:rsidP="00C24050">
      <w:pPr>
        <w:numPr>
          <w:ilvl w:val="0"/>
          <w:numId w:val="14"/>
        </w:numPr>
        <w:shd w:val="clear" w:color="auto" w:fill="FFFFFF"/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Participate in the creation of a group or class list of strategies for improving academic skills and knowledge, and assess strategies best suited to personal growth</w:t>
      </w:r>
    </w:p>
    <w:p w:rsidR="00C24050" w:rsidRPr="00C24050" w:rsidRDefault="00C24050" w:rsidP="00C24050">
      <w:pPr>
        <w:numPr>
          <w:ilvl w:val="0"/>
          <w:numId w:val="15"/>
        </w:numPr>
        <w:shd w:val="clear" w:color="auto" w:fill="FFFFFF"/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Conduct a personal communication with an experienced worker and create a visual representation of their career pathway</w:t>
      </w:r>
    </w:p>
    <w:p w:rsidR="00C24050" w:rsidRPr="00C24050" w:rsidRDefault="00C24050" w:rsidP="00C24050">
      <w:pPr>
        <w:numPr>
          <w:ilvl w:val="0"/>
          <w:numId w:val="16"/>
        </w:numPr>
        <w:shd w:val="clear" w:color="auto" w:fill="FFFFFF"/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Compare how positive and negative personal skills and attitudes influence life and work-related success</w:t>
      </w:r>
    </w:p>
    <w:p w:rsidR="00C24050" w:rsidRPr="00C24050" w:rsidRDefault="00C24050" w:rsidP="00C24050">
      <w:pPr>
        <w:numPr>
          <w:ilvl w:val="0"/>
          <w:numId w:val="17"/>
        </w:numPr>
        <w:shd w:val="clear" w:color="auto" w:fill="FFFFFF"/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Explore and clarify understandings about the relationship between personal knowledge and skills and life and work choices</w:t>
      </w:r>
    </w:p>
    <w:p w:rsidR="00C24050" w:rsidRPr="00C24050" w:rsidRDefault="00C24050" w:rsidP="00C24050">
      <w:pPr>
        <w:numPr>
          <w:ilvl w:val="0"/>
          <w:numId w:val="18"/>
        </w:numPr>
        <w:shd w:val="clear" w:color="auto" w:fill="FFFFFF"/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Examine how organizations operate (e.g., how money is made, overhead costs, profit) to formulate understandings of relationships between employers, workers, and consumers</w:t>
      </w:r>
    </w:p>
    <w:p w:rsidR="00C24050" w:rsidRPr="00C24050" w:rsidRDefault="00C24050" w:rsidP="00C24050">
      <w:pPr>
        <w:numPr>
          <w:ilvl w:val="0"/>
          <w:numId w:val="19"/>
        </w:numPr>
        <w:shd w:val="clear" w:color="auto" w:fill="FFFFFF"/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Evaluate and justify the economic contributions workers and entrepreneurs make to a community</w:t>
      </w:r>
    </w:p>
    <w:p w:rsidR="00C24050" w:rsidRPr="00C24050" w:rsidRDefault="00C24050" w:rsidP="00C2405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C24050" w:rsidRDefault="00C24050"/>
    <w:p w:rsidR="00C24050" w:rsidRPr="00C24050" w:rsidRDefault="00C24050" w:rsidP="00C24050">
      <w:pPr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C2405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Outcome: CC8.2</w:t>
      </w:r>
    </w:p>
    <w:p w:rsidR="00C24050" w:rsidRPr="00C24050" w:rsidRDefault="00C24050" w:rsidP="00C24050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Determine the contributions that work and work alternatives such as volunteerism make to the community and identify their importance to society.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C24050" w:rsidRPr="00C24050" w:rsidRDefault="00C24050" w:rsidP="00C24050">
      <w:pPr>
        <w:numPr>
          <w:ilvl w:val="0"/>
          <w:numId w:val="20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Identify and select the skills, knowledge, and attitudes best suited to volunteer and work requirements</w:t>
      </w:r>
    </w:p>
    <w:p w:rsidR="00C24050" w:rsidRPr="00C24050" w:rsidRDefault="00C24050" w:rsidP="00C24050">
      <w:pPr>
        <w:numPr>
          <w:ilvl w:val="0"/>
          <w:numId w:val="21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Cite personal skills and attitudes conducive to life and work success and formulate a plan to incorporate these skills and attitudes into one’s own life through volunteer activities</w:t>
      </w:r>
    </w:p>
    <w:p w:rsidR="00C24050" w:rsidRPr="00C24050" w:rsidRDefault="00C24050" w:rsidP="00C24050">
      <w:pPr>
        <w:numPr>
          <w:ilvl w:val="0"/>
          <w:numId w:val="22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Evaluate the impact of one’s personal skills and attitudes on one’s life/work successes in the community</w:t>
      </w:r>
    </w:p>
    <w:p w:rsidR="00C24050" w:rsidRPr="00C24050" w:rsidRDefault="00C24050" w:rsidP="00C24050">
      <w:pPr>
        <w:numPr>
          <w:ilvl w:val="0"/>
          <w:numId w:val="23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Classify work roles and work alternatives such as volunteerism using various resources including digital media</w:t>
      </w:r>
    </w:p>
    <w:p w:rsidR="00C24050" w:rsidRPr="00C24050" w:rsidRDefault="00C24050" w:rsidP="00C24050">
      <w:pPr>
        <w:numPr>
          <w:ilvl w:val="0"/>
          <w:numId w:val="24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Examine creative or alternative life/work scenarios, and evaluate their possible impact on one’s life</w:t>
      </w:r>
    </w:p>
    <w:p w:rsidR="00C24050" w:rsidRPr="00C24050" w:rsidRDefault="00C24050" w:rsidP="00C24050">
      <w:pPr>
        <w:numPr>
          <w:ilvl w:val="0"/>
          <w:numId w:val="25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Compare various working conditions such as inside/outside, shift work, and hazardous work</w:t>
      </w:r>
    </w:p>
    <w:p w:rsidR="00C24050" w:rsidRDefault="00C24050" w:rsidP="00C2405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C24050" w:rsidRDefault="00C24050">
      <w:pPr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</w:rPr>
        <w:br w:type="page"/>
      </w:r>
    </w:p>
    <w:p w:rsidR="00C24050" w:rsidRPr="00C24050" w:rsidRDefault="00C24050" w:rsidP="00C2405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</w:p>
    <w:p w:rsidR="00C24050" w:rsidRDefault="00C24050"/>
    <w:p w:rsidR="00C24050" w:rsidRPr="00C24050" w:rsidRDefault="00C24050" w:rsidP="00C24050">
      <w:pPr>
        <w:shd w:val="clear" w:color="auto" w:fill="A24C3D"/>
        <w:spacing w:after="0" w:line="240" w:lineRule="auto"/>
        <w:rPr>
          <w:rFonts w:ascii="Trebuchet MS" w:eastAsia="Times New Roman" w:hAnsi="Trebuchet MS" w:cs="Times New Roman"/>
          <w:b/>
          <w:bCs/>
          <w:color w:val="FFFFFF"/>
          <w:sz w:val="18"/>
          <w:szCs w:val="18"/>
        </w:rPr>
      </w:pPr>
      <w:r w:rsidRPr="00C24050">
        <w:rPr>
          <w:rFonts w:ascii="Trebuchet MS" w:eastAsia="Times New Roman" w:hAnsi="Trebuchet MS" w:cs="Times New Roman"/>
          <w:b/>
          <w:bCs/>
          <w:color w:val="FFFFFF"/>
          <w:sz w:val="18"/>
          <w:szCs w:val="18"/>
        </w:rPr>
        <w:t>Life and Work Plan (LW)</w:t>
      </w:r>
    </w:p>
    <w:p w:rsidR="00C24050" w:rsidRPr="00C24050" w:rsidRDefault="00C24050" w:rsidP="00C2405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hyperlink r:id="rId9" w:history="1">
        <w:r w:rsidRPr="00C24050">
          <w:rPr>
            <w:rFonts w:ascii="Trebuchet MS" w:eastAsia="Times New Roman" w:hAnsi="Trebuchet MS" w:cs="Times New Roman"/>
            <w:color w:val="000000"/>
            <w:sz w:val="18"/>
            <w:szCs w:val="18"/>
            <w:u w:val="single"/>
            <w:bdr w:val="single" w:sz="6" w:space="0" w:color="000000" w:frame="1"/>
          </w:rPr>
          <w:t>LW8.1</w:t>
        </w:r>
      </w:hyperlink>
      <w:hyperlink r:id="rId10" w:history="1">
        <w:r w:rsidRPr="00C24050">
          <w:rPr>
            <w:rFonts w:ascii="Trebuchet MS" w:eastAsia="Times New Roman" w:hAnsi="Trebuchet MS" w:cs="Times New Roman"/>
            <w:color w:val="000000"/>
            <w:sz w:val="18"/>
            <w:szCs w:val="18"/>
            <w:u w:val="single"/>
            <w:bdr w:val="single" w:sz="6" w:space="0" w:color="000000" w:frame="1"/>
            <w:shd w:val="clear" w:color="auto" w:fill="ECDBD8"/>
          </w:rPr>
          <w:t>LW8.2</w:t>
        </w:r>
      </w:hyperlink>
    </w:p>
    <w:p w:rsidR="00C24050" w:rsidRDefault="00C24050" w:rsidP="00C24050">
      <w:pPr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</w:p>
    <w:p w:rsidR="00C24050" w:rsidRPr="00C24050" w:rsidRDefault="00C24050" w:rsidP="00C24050">
      <w:pPr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C2405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Outcome: LW8.1</w:t>
      </w:r>
    </w:p>
    <w:p w:rsidR="00C24050" w:rsidRPr="00C24050" w:rsidRDefault="00C24050" w:rsidP="00C24050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Compare skills taxonomies such as Essential Skills and Employability Skills and examine how an individual’s skills may influence possible future occupational choices.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C24050" w:rsidRPr="00C24050" w:rsidRDefault="00C24050" w:rsidP="00C24050">
      <w:pPr>
        <w:numPr>
          <w:ilvl w:val="0"/>
          <w:numId w:val="26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Compare personal skills to taxonomies such as Essential </w:t>
      </w:r>
      <w:bookmarkStart w:id="0" w:name="_GoBack"/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Skills </w:t>
      </w:r>
      <w:bookmarkEnd w:id="0"/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(</w:t>
      </w:r>
      <w:hyperlink r:id="rId11" w:tgtFrame="_blank" w:history="1">
        <w:r w:rsidRPr="00C24050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http://www.hrsdc.gc.ca/eng/workplaceskills/essential_skills/general/home.</w:t>
        </w:r>
      </w:hyperlink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) and Employability Skills ( </w:t>
      </w:r>
      <w:hyperlink r:id="rId12" w:tgtFrame="_blank" w:history="1">
        <w:r w:rsidRPr="00C24050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</w:rPr>
          <w:t>http://conferenceboard.</w:t>
        </w:r>
      </w:hyperlink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) while identifying areas of focus for future improvement</w:t>
      </w:r>
    </w:p>
    <w:p w:rsidR="00C24050" w:rsidRPr="00C24050" w:rsidRDefault="00C24050" w:rsidP="00C24050">
      <w:pPr>
        <w:numPr>
          <w:ilvl w:val="0"/>
          <w:numId w:val="27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Identify how personal beliefs, skills, and attitudes affect decision making regarding one’s work choices</w:t>
      </w:r>
    </w:p>
    <w:p w:rsidR="00C24050" w:rsidRPr="00C24050" w:rsidRDefault="00C24050" w:rsidP="00C24050">
      <w:pPr>
        <w:numPr>
          <w:ilvl w:val="0"/>
          <w:numId w:val="28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Draw conclusions about the connections between skill taxonomies and personal work and life plans</w:t>
      </w:r>
    </w:p>
    <w:p w:rsidR="00C24050" w:rsidRPr="00C24050" w:rsidRDefault="00C24050" w:rsidP="00C2405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C24050" w:rsidRPr="00C24050" w:rsidRDefault="00C24050" w:rsidP="00C24050">
      <w:pPr>
        <w:spacing w:after="300" w:line="240" w:lineRule="auto"/>
        <w:textAlignment w:val="top"/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</w:pPr>
      <w:r w:rsidRPr="00C2405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Outcome: LW8.2</w:t>
      </w:r>
    </w:p>
    <w:p w:rsidR="00C24050" w:rsidRPr="00C24050" w:rsidRDefault="00C24050" w:rsidP="00C24050">
      <w:pPr>
        <w:spacing w:after="0" w:line="240" w:lineRule="auto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b/>
          <w:bCs/>
          <w:color w:val="000000"/>
          <w:sz w:val="18"/>
          <w:szCs w:val="18"/>
        </w:rPr>
        <w:t>Formulate a list of life roles and examine possible changes over one’s lifespan.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C24050" w:rsidRPr="00C24050" w:rsidRDefault="00C24050" w:rsidP="00C24050">
      <w:pPr>
        <w:numPr>
          <w:ilvl w:val="0"/>
          <w:numId w:val="29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Consider how personal goals can be satisfied through a combination of work, community, social, and family roles Identify how various life and work roles impact the attainment of future goals</w:t>
      </w:r>
    </w:p>
    <w:p w:rsidR="00C24050" w:rsidRPr="00C24050" w:rsidRDefault="00C24050" w:rsidP="00C24050">
      <w:pPr>
        <w:numPr>
          <w:ilvl w:val="0"/>
          <w:numId w:val="30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Determine examples of life and work roles that would positively impact one’s life (e.g., participating in sports and the arts, holding down a job, volunteering in the community, helping a </w:t>
      </w:r>
      <w:proofErr w:type="spellStart"/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neighbour</w:t>
      </w:r>
      <w:proofErr w:type="spellEnd"/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)</w:t>
      </w:r>
    </w:p>
    <w:p w:rsidR="00C24050" w:rsidRPr="00C24050" w:rsidRDefault="00C24050" w:rsidP="00C24050">
      <w:pPr>
        <w:numPr>
          <w:ilvl w:val="0"/>
          <w:numId w:val="31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Examine and assess one’s preferred future using as criteria newly acquired information about self and the world of work</w:t>
      </w:r>
    </w:p>
    <w:p w:rsidR="00C24050" w:rsidRPr="00C24050" w:rsidRDefault="00C24050" w:rsidP="00C24050">
      <w:pPr>
        <w:numPr>
          <w:ilvl w:val="0"/>
          <w:numId w:val="32"/>
        </w:numPr>
        <w:spacing w:after="180" w:line="240" w:lineRule="auto"/>
        <w:ind w:left="945"/>
        <w:textAlignment w:val="top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333333"/>
          <w:sz w:val="18"/>
          <w:szCs w:val="18"/>
        </w:rPr>
        <w:t>Investigate the concept of a preferred future and adjust one’s preferred future as experience changes knowledge of oneself</w:t>
      </w:r>
    </w:p>
    <w:p w:rsidR="00C24050" w:rsidRPr="00C24050" w:rsidRDefault="00C24050" w:rsidP="00C24050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C24050">
        <w:rPr>
          <w:rFonts w:ascii="Trebuchet MS" w:eastAsia="Times New Roman" w:hAnsi="Trebuchet MS" w:cs="Times New Roman"/>
          <w:color w:val="000000"/>
          <w:sz w:val="18"/>
          <w:szCs w:val="18"/>
        </w:rPr>
        <w:t> </w:t>
      </w:r>
    </w:p>
    <w:p w:rsidR="00C24050" w:rsidRDefault="00C24050"/>
    <w:sectPr w:rsidR="00C24050" w:rsidSect="00C24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5"/>
    <w:multiLevelType w:val="multilevel"/>
    <w:tmpl w:val="67189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A27E1"/>
    <w:multiLevelType w:val="multilevel"/>
    <w:tmpl w:val="3CE6A4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96F97"/>
    <w:multiLevelType w:val="multilevel"/>
    <w:tmpl w:val="7F264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90F1B"/>
    <w:multiLevelType w:val="multilevel"/>
    <w:tmpl w:val="50902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60AD7"/>
    <w:multiLevelType w:val="multilevel"/>
    <w:tmpl w:val="F7D2C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5187D"/>
    <w:multiLevelType w:val="multilevel"/>
    <w:tmpl w:val="607CE6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5"/>
    </w:lvlOverride>
  </w:num>
  <w:num w:numId="13">
    <w:abstractNumId w:val="5"/>
    <w:lvlOverride w:ilvl="0">
      <w:startOverride w:val="6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2"/>
    </w:lvlOverride>
  </w:num>
  <w:num w:numId="16">
    <w:abstractNumId w:val="4"/>
    <w:lvlOverride w:ilvl="0">
      <w:startOverride w:val="3"/>
    </w:lvlOverride>
  </w:num>
  <w:num w:numId="17">
    <w:abstractNumId w:val="4"/>
    <w:lvlOverride w:ilvl="0">
      <w:startOverride w:val="4"/>
    </w:lvlOverride>
  </w:num>
  <w:num w:numId="18">
    <w:abstractNumId w:val="4"/>
    <w:lvlOverride w:ilvl="0">
      <w:startOverride w:val="5"/>
    </w:lvlOverride>
  </w:num>
  <w:num w:numId="19">
    <w:abstractNumId w:val="4"/>
    <w:lvlOverride w:ilvl="0">
      <w:startOverride w:val="6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2"/>
    </w:lvlOverride>
  </w:num>
  <w:num w:numId="22">
    <w:abstractNumId w:val="0"/>
    <w:lvlOverride w:ilvl="0">
      <w:startOverride w:val="3"/>
    </w:lvlOverride>
  </w:num>
  <w:num w:numId="23">
    <w:abstractNumId w:val="0"/>
    <w:lvlOverride w:ilvl="0">
      <w:startOverride w:val="4"/>
    </w:lvlOverride>
  </w:num>
  <w:num w:numId="24">
    <w:abstractNumId w:val="0"/>
    <w:lvlOverride w:ilvl="0">
      <w:startOverride w:val="5"/>
    </w:lvlOverride>
  </w:num>
  <w:num w:numId="25">
    <w:abstractNumId w:val="0"/>
    <w:lvlOverride w:ilvl="0">
      <w:startOverride w:val="6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2"/>
    </w:lvlOverride>
  </w:num>
  <w:num w:numId="28">
    <w:abstractNumId w:val="2"/>
    <w:lvlOverride w:ilvl="0">
      <w:startOverride w:val="3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2"/>
    </w:lvlOverride>
  </w:num>
  <w:num w:numId="31">
    <w:abstractNumId w:val="1"/>
    <w:lvlOverride w:ilvl="0">
      <w:startOverride w:val="3"/>
    </w:lvlOverride>
  </w:num>
  <w:num w:numId="3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58"/>
    <w:rsid w:val="00932F58"/>
    <w:rsid w:val="00C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50DF"/>
  <w15:chartTrackingRefBased/>
  <w15:docId w15:val="{5A873913-0B71-419A-9B4F-5B7460B3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F58"/>
    <w:rPr>
      <w:color w:val="0000FF"/>
      <w:u w:val="single"/>
    </w:rPr>
  </w:style>
  <w:style w:type="paragraph" w:customStyle="1" w:styleId="heading">
    <w:name w:val="heading"/>
    <w:basedOn w:val="Normal"/>
    <w:rsid w:val="0093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331">
              <w:marLeft w:val="2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85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single" w:sz="6" w:space="4" w:color="000000"/>
          </w:divBdr>
        </w:div>
        <w:div w:id="12752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26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single" w:sz="6" w:space="4" w:color="000000"/>
          </w:divBdr>
        </w:div>
        <w:div w:id="12149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2015">
              <w:marLeft w:val="0"/>
              <w:marRight w:val="0"/>
              <w:marTop w:val="0"/>
              <w:marBottom w:val="0"/>
              <w:divBdr>
                <w:top w:val="single" w:sz="6" w:space="4" w:color="888888"/>
                <w:left w:val="single" w:sz="6" w:space="4" w:color="888888"/>
                <w:bottom w:val="single" w:sz="6" w:space="4" w:color="888888"/>
                <w:right w:val="single" w:sz="6" w:space="4" w:color="888888"/>
              </w:divBdr>
              <w:divsChild>
                <w:div w:id="8439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831">
                      <w:marLeft w:val="225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005">
              <w:marLeft w:val="2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44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34">
              <w:marLeft w:val="7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69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000000"/>
                    <w:bottom w:val="single" w:sz="18" w:space="0" w:color="000000"/>
                    <w:right w:val="none" w:sz="0" w:space="0" w:color="auto"/>
                  </w:divBdr>
                  <w:divsChild>
                    <w:div w:id="742261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single" w:sz="6" w:space="4" w:color="000000"/>
                      </w:divBdr>
                    </w:div>
                    <w:div w:id="19877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954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000000"/>
                    <w:bottom w:val="single" w:sz="18" w:space="0" w:color="000000"/>
                    <w:right w:val="none" w:sz="0" w:space="0" w:color="auto"/>
                  </w:divBdr>
                  <w:divsChild>
                    <w:div w:id="1978801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single" w:sz="6" w:space="4" w:color="000000"/>
                      </w:divBdr>
                    </w:div>
                    <w:div w:id="16909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000000"/>
                    <w:bottom w:val="single" w:sz="18" w:space="0" w:color="000000"/>
                    <w:right w:val="none" w:sz="0" w:space="0" w:color="auto"/>
                  </w:divBdr>
                  <w:divsChild>
                    <w:div w:id="1433815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single" w:sz="6" w:space="4" w:color="000000"/>
                      </w:divBdr>
                    </w:div>
                    <w:div w:id="20460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156819">
              <w:marLeft w:val="2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496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989">
              <w:marLeft w:val="7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000000"/>
                    <w:bottom w:val="single" w:sz="18" w:space="0" w:color="000000"/>
                    <w:right w:val="none" w:sz="0" w:space="0" w:color="auto"/>
                  </w:divBdr>
                  <w:divsChild>
                    <w:div w:id="1694183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single" w:sz="6" w:space="4" w:color="000000"/>
                      </w:divBdr>
                    </w:div>
                    <w:div w:id="10120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3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000000"/>
                    <w:bottom w:val="single" w:sz="18" w:space="0" w:color="000000"/>
                    <w:right w:val="none" w:sz="0" w:space="0" w:color="auto"/>
                  </w:divBdr>
                  <w:divsChild>
                    <w:div w:id="32579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single" w:sz="6" w:space="4" w:color="000000"/>
                      </w:divBdr>
                    </w:div>
                    <w:div w:id="502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8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18" w:space="0" w:color="000000"/>
                    <w:bottom w:val="single" w:sz="18" w:space="0" w:color="000000"/>
                    <w:right w:val="none" w:sz="0" w:space="0" w:color="auto"/>
                  </w:divBdr>
                  <w:divsChild>
                    <w:div w:id="20909559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single" w:sz="6" w:space="4" w:color="000000"/>
                      </w:divBdr>
                    </w:div>
                    <w:div w:id="19263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495590">
              <w:marLeft w:val="2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7606">
              <w:marLeft w:val="225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indicators?lang=en&amp;subj=career_education&amp;level=8&amp;outcome=2.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LEARN/indicators?lang=en&amp;subj=career_education&amp;level=8&amp;outcome=2.1" TargetMode="External"/><Relationship Id="rId12" Type="http://schemas.openxmlformats.org/officeDocument/2006/relationships/hyperlink" Target="http://conferenceboard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online.sk.ca/webapps/moe-curriculum-BBLEARN/indicators?lang=en&amp;subj=career_education&amp;level=8&amp;outcome=1.2" TargetMode="External"/><Relationship Id="rId11" Type="http://schemas.openxmlformats.org/officeDocument/2006/relationships/hyperlink" Target="http://www.hrsdc.gc.ca/eng/workplaceskills/essential_skills/general/home." TargetMode="External"/><Relationship Id="rId5" Type="http://schemas.openxmlformats.org/officeDocument/2006/relationships/hyperlink" Target="https://www.edonline.sk.ca/webapps/moe-curriculum-BBLEARN/indicators?lang=en&amp;subj=career_education&amp;level=8&amp;outcome=1.1" TargetMode="External"/><Relationship Id="rId10" Type="http://schemas.openxmlformats.org/officeDocument/2006/relationships/hyperlink" Target="https://www.edonline.sk.ca/webapps/moe-curriculum-BBLEARN/indicators?lang=en&amp;subj=career_education&amp;level=8&amp;outcome=3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online.sk.ca/webapps/moe-curriculum-BBLEARN/indicators?lang=en&amp;subj=career_education&amp;level=8&amp;outcome=3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2017-12-04T19:04:00Z</dcterms:created>
  <dcterms:modified xsi:type="dcterms:W3CDTF">2017-12-04T19:04:00Z</dcterms:modified>
</cp:coreProperties>
</file>